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EA7" w:rsidRPr="0001614F" w:rsidRDefault="0099457B" w:rsidP="0001614F">
      <w:pPr>
        <w:pStyle w:val="Ttulo"/>
        <w:tabs>
          <w:tab w:val="left" w:pos="3000"/>
          <w:tab w:val="center" w:pos="4320"/>
        </w:tabs>
        <w:jc w:val="both"/>
        <w:rPr>
          <w:rFonts w:ascii="Times New Roman" w:hAnsi="Times New Roman"/>
          <w:sz w:val="24"/>
        </w:rPr>
      </w:pPr>
      <w:bookmarkStart w:id="0" w:name="_Hlk78452284"/>
      <w:bookmarkEnd w:id="0"/>
      <w:r w:rsidRPr="0001614F">
        <w:rPr>
          <w:rFonts w:ascii="Times New Roman" w:hAnsi="Times New Roman"/>
          <w:noProof/>
          <w:sz w:val="24"/>
          <w:lang w:val="es-DO" w:eastAsia="es-DO"/>
        </w:rPr>
        <w:drawing>
          <wp:anchor distT="0" distB="0" distL="114300" distR="114300" simplePos="0" relativeHeight="251658240" behindDoc="0" locked="0" layoutInCell="1" hidden="0" allowOverlap="1">
            <wp:simplePos x="0" y="0"/>
            <wp:positionH relativeFrom="column">
              <wp:posOffset>2451735</wp:posOffset>
            </wp:positionH>
            <wp:positionV relativeFrom="paragraph">
              <wp:posOffset>0</wp:posOffset>
            </wp:positionV>
            <wp:extent cx="1041400" cy="1038225"/>
            <wp:effectExtent l="0" t="0" r="0" b="0"/>
            <wp:wrapSquare wrapText="bothSides" distT="0" distB="0" distL="114300" distR="11430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041400" cy="1038225"/>
                    </a:xfrm>
                    <a:prstGeom prst="rect">
                      <a:avLst/>
                    </a:prstGeom>
                    <a:ln/>
                  </pic:spPr>
                </pic:pic>
              </a:graphicData>
            </a:graphic>
          </wp:anchor>
        </w:drawing>
      </w:r>
    </w:p>
    <w:p w:rsidR="007C1EA7" w:rsidRPr="0001614F" w:rsidRDefault="007C1EA7" w:rsidP="0001614F">
      <w:pPr>
        <w:jc w:val="both"/>
      </w:pPr>
    </w:p>
    <w:p w:rsidR="007C1EA7" w:rsidRPr="0001614F" w:rsidRDefault="007C1EA7" w:rsidP="0001614F">
      <w:pPr>
        <w:jc w:val="both"/>
      </w:pPr>
    </w:p>
    <w:p w:rsidR="007C1EA7" w:rsidRPr="0001614F" w:rsidRDefault="007C1EA7" w:rsidP="0001614F">
      <w:pPr>
        <w:jc w:val="both"/>
      </w:pPr>
    </w:p>
    <w:p w:rsidR="007C1EA7" w:rsidRPr="0001614F" w:rsidRDefault="007C1EA7" w:rsidP="0001614F">
      <w:pPr>
        <w:spacing w:after="240"/>
        <w:jc w:val="both"/>
      </w:pPr>
    </w:p>
    <w:p w:rsidR="007C1EA7" w:rsidRPr="0001614F" w:rsidRDefault="0099457B" w:rsidP="0001614F">
      <w:pPr>
        <w:jc w:val="both"/>
      </w:pPr>
      <w:r w:rsidRPr="0001614F">
        <w:rPr>
          <w:noProof/>
          <w:lang w:val="es-DO" w:eastAsia="es-DO"/>
        </w:rPr>
        <mc:AlternateContent>
          <mc:Choice Requires="wpg">
            <w:drawing>
              <wp:anchor distT="0" distB="0" distL="114300" distR="114300" simplePos="0" relativeHeight="251659264" behindDoc="0" locked="0" layoutInCell="1" hidden="0" allowOverlap="1">
                <wp:simplePos x="0" y="0"/>
                <wp:positionH relativeFrom="column">
                  <wp:posOffset>-12699</wp:posOffset>
                </wp:positionH>
                <wp:positionV relativeFrom="paragraph">
                  <wp:posOffset>38100</wp:posOffset>
                </wp:positionV>
                <wp:extent cx="6318403" cy="25400"/>
                <wp:effectExtent l="0" t="0" r="0" b="0"/>
                <wp:wrapNone/>
                <wp:docPr id="20" name="Conector recto de flecha 20"/>
                <wp:cNvGraphicFramePr/>
                <a:graphic xmlns:a="http://schemas.openxmlformats.org/drawingml/2006/main">
                  <a:graphicData uri="http://schemas.microsoft.com/office/word/2010/wordprocessingShape">
                    <wps:wsp>
                      <wps:cNvCnPr/>
                      <wps:spPr>
                        <a:xfrm>
                          <a:off x="2193149" y="3780000"/>
                          <a:ext cx="6305703" cy="0"/>
                        </a:xfrm>
                        <a:prstGeom prst="straightConnector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-12699</wp:posOffset>
                </wp:positionH>
                <wp:positionV relativeFrom="paragraph">
                  <wp:posOffset>38100</wp:posOffset>
                </wp:positionV>
                <wp:extent cx="6318403" cy="25400"/>
                <wp:effectExtent b="0" l="0" r="0" t="0"/>
                <wp:wrapNone/>
                <wp:docPr id="20"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318403" cy="25400"/>
                        </a:xfrm>
                        <a:prstGeom prst="rect"/>
                        <a:ln/>
                      </pic:spPr>
                    </pic:pic>
                  </a:graphicData>
                </a:graphic>
              </wp:anchor>
            </w:drawing>
          </mc:Fallback>
        </mc:AlternateContent>
      </w:r>
    </w:p>
    <w:p w:rsidR="007C1EA7" w:rsidRPr="0001614F" w:rsidRDefault="0099457B" w:rsidP="0001614F">
      <w:pPr>
        <w:jc w:val="center"/>
      </w:pPr>
      <w:r w:rsidRPr="0001614F">
        <w:rPr>
          <w:b/>
        </w:rPr>
        <w:t>DEL COMITÉ DE COMPRAS Y CONTRATACIONES DEL</w:t>
      </w:r>
    </w:p>
    <w:p w:rsidR="007C1EA7" w:rsidRPr="0001614F" w:rsidRDefault="0099457B" w:rsidP="0001614F">
      <w:pPr>
        <w:spacing w:after="240"/>
        <w:jc w:val="center"/>
        <w:rPr>
          <w:b/>
          <w:i/>
        </w:rPr>
      </w:pPr>
      <w:r w:rsidRPr="0001614F">
        <w:rPr>
          <w:b/>
        </w:rPr>
        <w:t>INSTITUTO SUPERIOR DE FORMACIÓN DOCENTE SALOMÉ UREÑA</w:t>
      </w:r>
    </w:p>
    <w:p w:rsidR="007C1EA7" w:rsidRPr="0001614F" w:rsidRDefault="0099457B" w:rsidP="0001614F">
      <w:pPr>
        <w:jc w:val="both"/>
        <w:rPr>
          <w:b/>
        </w:rPr>
      </w:pPr>
      <w:r w:rsidRPr="0001614F">
        <w:rPr>
          <w:noProof/>
          <w:lang w:val="es-DO" w:eastAsia="es-DO"/>
        </w:rPr>
        <mc:AlternateContent>
          <mc:Choice Requires="wpg">
            <w:drawing>
              <wp:anchor distT="0" distB="0" distL="114300" distR="114300" simplePos="0" relativeHeight="251660288" behindDoc="0" locked="0" layoutInCell="1" hidden="0" allowOverlap="1">
                <wp:simplePos x="0" y="0"/>
                <wp:positionH relativeFrom="column">
                  <wp:posOffset>1</wp:posOffset>
                </wp:positionH>
                <wp:positionV relativeFrom="paragraph">
                  <wp:posOffset>0</wp:posOffset>
                </wp:positionV>
                <wp:extent cx="6318250" cy="25400"/>
                <wp:effectExtent l="0" t="0" r="0" b="0"/>
                <wp:wrapNone/>
                <wp:docPr id="19" name="Conector recto de flecha 19"/>
                <wp:cNvGraphicFramePr/>
                <a:graphic xmlns:a="http://schemas.openxmlformats.org/drawingml/2006/main">
                  <a:graphicData uri="http://schemas.microsoft.com/office/word/2010/wordprocessingShape">
                    <wps:wsp>
                      <wps:cNvCnPr/>
                      <wps:spPr>
                        <a:xfrm>
                          <a:off x="2193225" y="3780000"/>
                          <a:ext cx="6305550" cy="0"/>
                        </a:xfrm>
                        <a:prstGeom prst="straightConnector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318250" cy="25400"/>
                <wp:effectExtent b="0" l="0" r="0" t="0"/>
                <wp:wrapNone/>
                <wp:docPr id="19"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318250" cy="25400"/>
                        </a:xfrm>
                        <a:prstGeom prst="rect"/>
                        <a:ln/>
                      </pic:spPr>
                    </pic:pic>
                  </a:graphicData>
                </a:graphic>
              </wp:anchor>
            </w:drawing>
          </mc:Fallback>
        </mc:AlternateContent>
      </w:r>
    </w:p>
    <w:p w:rsidR="00DD31B7" w:rsidRDefault="00DD31B7" w:rsidP="003A2E88">
      <w:pPr>
        <w:spacing w:line="360" w:lineRule="auto"/>
        <w:jc w:val="center"/>
        <w:rPr>
          <w:b/>
        </w:rPr>
      </w:pPr>
      <w:r w:rsidRPr="00DD31B7">
        <w:rPr>
          <w:b/>
        </w:rPr>
        <w:t>ACTA DECLARATORIA PROCESO DESIERTO</w:t>
      </w:r>
    </w:p>
    <w:p w:rsidR="007C1EA7" w:rsidRPr="0001614F" w:rsidRDefault="0099457B" w:rsidP="0001614F">
      <w:pPr>
        <w:spacing w:after="240"/>
        <w:jc w:val="center"/>
        <w:rPr>
          <w:b/>
        </w:rPr>
      </w:pPr>
      <w:r w:rsidRPr="0001614F">
        <w:rPr>
          <w:b/>
        </w:rPr>
        <w:t>PROCESO DE REFERENCIA NO.</w:t>
      </w:r>
      <w:r w:rsidR="00DD31B7">
        <w:rPr>
          <w:b/>
        </w:rPr>
        <w:t xml:space="preserve">: </w:t>
      </w:r>
      <w:r w:rsidRPr="0001614F">
        <w:rPr>
          <w:b/>
        </w:rPr>
        <w:t>ISFODOSU-CCC-CP-2021-000</w:t>
      </w:r>
      <w:r w:rsidR="00DD31B7">
        <w:rPr>
          <w:b/>
        </w:rPr>
        <w:t>4</w:t>
      </w:r>
      <w:r w:rsidRPr="0001614F">
        <w:rPr>
          <w:b/>
        </w:rPr>
        <w:t>.</w:t>
      </w:r>
    </w:p>
    <w:p w:rsidR="00DD31B7" w:rsidRPr="003A2E88" w:rsidRDefault="00DD31B7" w:rsidP="003A2E88">
      <w:pPr>
        <w:spacing w:after="240"/>
        <w:ind w:right="14"/>
      </w:pPr>
      <w:bookmarkStart w:id="1" w:name="_heading=h.gjdgxs" w:colFirst="0" w:colLast="0"/>
      <w:bookmarkEnd w:id="1"/>
      <w:r>
        <w:t>ACTA NO. 014-2021</w:t>
      </w:r>
    </w:p>
    <w:p w:rsidR="007C1EA7" w:rsidRPr="0001614F" w:rsidRDefault="0099457B" w:rsidP="003A2E88">
      <w:pPr>
        <w:shd w:val="clear" w:color="auto" w:fill="FFFFFF" w:themeFill="background1"/>
        <w:spacing w:after="240"/>
        <w:jc w:val="both"/>
        <w:rPr>
          <w:b/>
        </w:rPr>
      </w:pPr>
      <w:r w:rsidRPr="0001614F">
        <w:rPr>
          <w:b/>
        </w:rPr>
        <w:t xml:space="preserve">Reunión celebrada por el Comité de Compras y Contrataciones del Instituto Superior de Formación Docente Salomé Ureña (ISFODOSU), para </w:t>
      </w:r>
      <w:r w:rsidR="006B51CA" w:rsidRPr="0001614F">
        <w:rPr>
          <w:b/>
        </w:rPr>
        <w:t xml:space="preserve">proceso de Comparación de Precios en etapa múltiple para la </w:t>
      </w:r>
      <w:r w:rsidRPr="0001614F">
        <w:rPr>
          <w:b/>
        </w:rPr>
        <w:t>«</w:t>
      </w:r>
      <w:r w:rsidR="00DD31B7">
        <w:rPr>
          <w:b/>
          <w:bCs/>
          <w:color w:val="000000"/>
        </w:rPr>
        <w:t>Adquisición de Tickets Prepagos de Combustible para uso de la Rectoría del ISFODOSU</w:t>
      </w:r>
      <w:r w:rsidRPr="0001614F">
        <w:rPr>
          <w:b/>
        </w:rPr>
        <w:t>»,</w:t>
      </w:r>
      <w:r w:rsidRPr="0001614F">
        <w:t xml:space="preserve"> </w:t>
      </w:r>
      <w:r w:rsidRPr="0001614F">
        <w:rPr>
          <w:b/>
        </w:rPr>
        <w:t>proceso de referencia No.: ISFODOSU-CCC-CP-2021-000</w:t>
      </w:r>
      <w:r w:rsidR="00DD31B7">
        <w:rPr>
          <w:b/>
        </w:rPr>
        <w:t>4</w:t>
      </w:r>
      <w:r w:rsidRPr="0001614F">
        <w:rPr>
          <w:b/>
        </w:rPr>
        <w:t xml:space="preserve">.  </w:t>
      </w:r>
    </w:p>
    <w:p w:rsidR="007C1EA7" w:rsidRPr="0001614F" w:rsidRDefault="0056394C" w:rsidP="003A2E88">
      <w:pPr>
        <w:shd w:val="clear" w:color="auto" w:fill="FFFFFF" w:themeFill="background1"/>
        <w:spacing w:after="240"/>
        <w:jc w:val="both"/>
      </w:pPr>
      <w:r w:rsidRPr="00D36BDF">
        <w:t>En Santo Domingo, Distrito Nacional, capital de la República Dominicana, h</w:t>
      </w:r>
      <w:r w:rsidR="0099457B" w:rsidRPr="00D36BDF">
        <w:t xml:space="preserve">oy día </w:t>
      </w:r>
      <w:r w:rsidRPr="00D36BDF">
        <w:t>veintinueve</w:t>
      </w:r>
      <w:r w:rsidR="0099457B" w:rsidRPr="00D36BDF">
        <w:t xml:space="preserve"> (2</w:t>
      </w:r>
      <w:r w:rsidRPr="00D36BDF">
        <w:t>9</w:t>
      </w:r>
      <w:r w:rsidR="0099457B" w:rsidRPr="00D36BDF">
        <w:t xml:space="preserve">) del mes de julio del año </w:t>
      </w:r>
      <w:r w:rsidR="00D200F8" w:rsidRPr="00D36BDF">
        <w:t>dos mil veintiuno</w:t>
      </w:r>
      <w:r w:rsidR="0099457B" w:rsidRPr="00D36BDF">
        <w:t xml:space="preserve"> (2021), siendo las </w:t>
      </w:r>
      <w:r w:rsidR="003A2E88">
        <w:t>dos</w:t>
      </w:r>
      <w:r w:rsidR="0099457B" w:rsidRPr="00D36BDF">
        <w:t xml:space="preserve"> y treinta minutos de la </w:t>
      </w:r>
      <w:r w:rsidR="003A2E88">
        <w:t>tarde</w:t>
      </w:r>
      <w:r w:rsidR="0099457B" w:rsidRPr="00D36BDF">
        <w:t xml:space="preserve"> (</w:t>
      </w:r>
      <w:r w:rsidR="003A2E88">
        <w:t>02</w:t>
      </w:r>
      <w:r w:rsidR="0099457B" w:rsidRPr="00D36BDF">
        <w:t xml:space="preserve">:30 </w:t>
      </w:r>
      <w:r w:rsidR="003A2E88">
        <w:t>p</w:t>
      </w:r>
      <w:r w:rsidR="0099457B" w:rsidRPr="00D36BDF">
        <w:t xml:space="preserve">.m.), nos reunimos en el Salón de Reuniones de la Rectoría del </w:t>
      </w:r>
      <w:r w:rsidR="0099457B" w:rsidRPr="00D36BDF">
        <w:rPr>
          <w:b/>
          <w:bCs/>
        </w:rPr>
        <w:t>Instituto Superior de Formación Docente Salomé Ureña (ISFODOSU),</w:t>
      </w:r>
      <w:r w:rsidR="0099457B" w:rsidRPr="00D36BDF">
        <w:t xml:space="preserve"> ubicado en la Calle Caonabo esq. Leonardo Da Vinci, Urbanización Renacimiento, Mirador Sur, Distrito Nacional, capital de la República Dominicana, </w:t>
      </w:r>
      <w:r w:rsidRPr="00D36BDF">
        <w:t xml:space="preserve">apegados a lo que establece el Proceso de Compras y Contrataciones de Bienes, Servicios, Obras y Concesiones, según la Ley No.: 340-06, y el reglamento de aplicación instituido mediante Decreto No.: 543-12 de fecha seis (6) de septiembre de dos mil doce (2012); estando presentes los miembros del </w:t>
      </w:r>
      <w:r w:rsidR="00D36BDF" w:rsidRPr="00D36BDF">
        <w:t>C</w:t>
      </w:r>
      <w:r w:rsidRPr="00D36BDF">
        <w:t xml:space="preserve">omité de Compras y </w:t>
      </w:r>
      <w:r w:rsidR="00D36BDF" w:rsidRPr="00D36BDF">
        <w:t>Contrataciones</w:t>
      </w:r>
      <w:r w:rsidRPr="00D36BDF">
        <w:t xml:space="preserve"> del ISFODOSU; </w:t>
      </w:r>
      <w:r w:rsidR="0099457B" w:rsidRPr="00D36BDF">
        <w:t>señores:</w:t>
      </w:r>
      <w:r w:rsidR="0099457B" w:rsidRPr="0001614F">
        <w:t xml:space="preserve"> </w:t>
      </w:r>
      <w:proofErr w:type="spellStart"/>
      <w:r w:rsidR="0099457B" w:rsidRPr="0001614F">
        <w:rPr>
          <w:b/>
        </w:rPr>
        <w:t>Milta</w:t>
      </w:r>
      <w:proofErr w:type="spellEnd"/>
      <w:r w:rsidR="0099457B" w:rsidRPr="0001614F">
        <w:rPr>
          <w:b/>
        </w:rPr>
        <w:t xml:space="preserve"> Lora</w:t>
      </w:r>
      <w:r w:rsidR="0099457B" w:rsidRPr="0001614F">
        <w:t xml:space="preserve"> en representación de </w:t>
      </w:r>
      <w:proofErr w:type="spellStart"/>
      <w:r w:rsidR="0099457B" w:rsidRPr="0001614F">
        <w:rPr>
          <w:b/>
          <w:color w:val="000000"/>
        </w:rPr>
        <w:t>Nury</w:t>
      </w:r>
      <w:proofErr w:type="spellEnd"/>
      <w:r w:rsidR="0099457B" w:rsidRPr="0001614F">
        <w:rPr>
          <w:b/>
          <w:color w:val="000000"/>
        </w:rPr>
        <w:t xml:space="preserve"> María Del Carmen González</w:t>
      </w:r>
      <w:r w:rsidR="0099457B" w:rsidRPr="0001614F">
        <w:rPr>
          <w:b/>
        </w:rPr>
        <w:t xml:space="preserve">, </w:t>
      </w:r>
      <w:r w:rsidR="0099457B" w:rsidRPr="0001614F">
        <w:t>Cédula de Identidad y Electoral No.</w:t>
      </w:r>
      <w:r w:rsidR="00EE722E" w:rsidRPr="00EE722E">
        <w:rPr>
          <w:b/>
        </w:rPr>
        <w:t xml:space="preserve"> </w:t>
      </w:r>
      <w:r w:rsidR="00EE722E">
        <w:rPr>
          <w:b/>
        </w:rPr>
        <w:t>***-*******-*</w:t>
      </w:r>
      <w:r w:rsidR="0099457B" w:rsidRPr="0001614F">
        <w:t xml:space="preserve">, </w:t>
      </w:r>
      <w:r w:rsidR="0099457B" w:rsidRPr="0001614F">
        <w:rPr>
          <w:b/>
        </w:rPr>
        <w:t xml:space="preserve">Presidente; </w:t>
      </w:r>
      <w:r w:rsidR="0099457B" w:rsidRPr="0001614F">
        <w:rPr>
          <w:b/>
          <w:color w:val="000000"/>
        </w:rPr>
        <w:t>José Ernesto Jiménez</w:t>
      </w:r>
      <w:r w:rsidR="0099457B" w:rsidRPr="0001614F">
        <w:rPr>
          <w:b/>
        </w:rPr>
        <w:t xml:space="preserve">., </w:t>
      </w:r>
      <w:r w:rsidR="0099457B" w:rsidRPr="0001614F">
        <w:t xml:space="preserve">Cédula de Identidad y Electoral </w:t>
      </w:r>
      <w:r w:rsidR="0099457B" w:rsidRPr="0001614F">
        <w:rPr>
          <w:b/>
        </w:rPr>
        <w:t xml:space="preserve">No. </w:t>
      </w:r>
      <w:r w:rsidR="00EE722E">
        <w:rPr>
          <w:b/>
        </w:rPr>
        <w:t>***-*******-*</w:t>
      </w:r>
      <w:r w:rsidR="0099457B" w:rsidRPr="0001614F">
        <w:t>,</w:t>
      </w:r>
      <w:r w:rsidR="0099457B" w:rsidRPr="0001614F">
        <w:rPr>
          <w:b/>
        </w:rPr>
        <w:t xml:space="preserve"> Miembro; Betania Cordero, </w:t>
      </w:r>
      <w:r w:rsidR="0099457B" w:rsidRPr="0001614F">
        <w:t>Cédu</w:t>
      </w:r>
      <w:r w:rsidR="005D160A">
        <w:t>la de Identidad y Electoral No.</w:t>
      </w:r>
      <w:bookmarkStart w:id="2" w:name="_GoBack"/>
      <w:bookmarkEnd w:id="2"/>
      <w:r w:rsidR="0099457B" w:rsidRPr="0001614F">
        <w:rPr>
          <w:b/>
        </w:rPr>
        <w:t xml:space="preserve"> </w:t>
      </w:r>
      <w:r w:rsidR="00EE722E">
        <w:rPr>
          <w:b/>
        </w:rPr>
        <w:t>***-*******-*</w:t>
      </w:r>
      <w:r w:rsidR="0099457B" w:rsidRPr="0001614F">
        <w:rPr>
          <w:b/>
        </w:rPr>
        <w:t xml:space="preserve">, Miembro; </w:t>
      </w:r>
      <w:proofErr w:type="spellStart"/>
      <w:r w:rsidR="0099457B" w:rsidRPr="0001614F">
        <w:rPr>
          <w:b/>
        </w:rPr>
        <w:t>Ivanna</w:t>
      </w:r>
      <w:proofErr w:type="spellEnd"/>
      <w:r w:rsidR="0099457B" w:rsidRPr="0001614F">
        <w:rPr>
          <w:b/>
        </w:rPr>
        <w:t xml:space="preserve"> García, </w:t>
      </w:r>
      <w:r w:rsidR="0099457B" w:rsidRPr="0001614F">
        <w:t>dominicana, mayor de edad, provista de la Cédula de Identidad y Electoral No.</w:t>
      </w:r>
      <w:r w:rsidR="0099457B" w:rsidRPr="0001614F">
        <w:rPr>
          <w:b/>
        </w:rPr>
        <w:t xml:space="preserve"> </w:t>
      </w:r>
      <w:r w:rsidR="00EE722E">
        <w:rPr>
          <w:b/>
        </w:rPr>
        <w:t>***-*******-*</w:t>
      </w:r>
      <w:r w:rsidR="0099457B" w:rsidRPr="0001614F">
        <w:rPr>
          <w:b/>
        </w:rPr>
        <w:t xml:space="preserve">, Miembro; José Elías Hernández </w:t>
      </w:r>
      <w:r w:rsidR="0099457B" w:rsidRPr="0001614F">
        <w:t>en representación de</w:t>
      </w:r>
      <w:r w:rsidR="0099457B" w:rsidRPr="0001614F">
        <w:rPr>
          <w:b/>
        </w:rPr>
        <w:t xml:space="preserve"> </w:t>
      </w:r>
      <w:proofErr w:type="spellStart"/>
      <w:r w:rsidR="0099457B" w:rsidRPr="0001614F">
        <w:rPr>
          <w:b/>
        </w:rPr>
        <w:t>Jany</w:t>
      </w:r>
      <w:proofErr w:type="spellEnd"/>
      <w:r w:rsidR="0099457B" w:rsidRPr="0001614F">
        <w:rPr>
          <w:b/>
        </w:rPr>
        <w:t xml:space="preserve"> </w:t>
      </w:r>
      <w:proofErr w:type="spellStart"/>
      <w:r w:rsidR="0099457B" w:rsidRPr="0001614F">
        <w:rPr>
          <w:b/>
        </w:rPr>
        <w:t>Beltré</w:t>
      </w:r>
      <w:proofErr w:type="spellEnd"/>
      <w:r w:rsidR="0099457B" w:rsidRPr="0001614F">
        <w:rPr>
          <w:b/>
        </w:rPr>
        <w:t>,</w:t>
      </w:r>
      <w:r w:rsidR="0099457B" w:rsidRPr="0001614F">
        <w:t xml:space="preserve"> Cédula de Identidad y Electoral No. </w:t>
      </w:r>
      <w:r w:rsidR="00EE722E">
        <w:rPr>
          <w:b/>
        </w:rPr>
        <w:t>***-*******-*</w:t>
      </w:r>
      <w:r w:rsidR="0099457B" w:rsidRPr="0001614F">
        <w:rPr>
          <w:b/>
        </w:rPr>
        <w:t>,</w:t>
      </w:r>
      <w:r w:rsidR="0099457B" w:rsidRPr="0001614F">
        <w:t xml:space="preserve"> </w:t>
      </w:r>
      <w:r w:rsidR="0099457B" w:rsidRPr="0001614F">
        <w:rPr>
          <w:b/>
        </w:rPr>
        <w:t>Consultor Jurídico y Asesora Legal del Comité de Compras.</w:t>
      </w:r>
    </w:p>
    <w:p w:rsidR="00851356" w:rsidRPr="00DD49DA" w:rsidRDefault="00851356" w:rsidP="003A2E88">
      <w:pPr>
        <w:shd w:val="clear" w:color="auto" w:fill="FFFFFF" w:themeFill="background1"/>
        <w:spacing w:after="240"/>
        <w:jc w:val="both"/>
      </w:pPr>
      <w:bookmarkStart w:id="3" w:name="_heading=h.30j0zll" w:colFirst="0" w:colLast="0"/>
      <w:bookmarkEnd w:id="3"/>
      <w:r w:rsidRPr="00DD49DA">
        <w:rPr>
          <w:b/>
        </w:rPr>
        <w:t xml:space="preserve">VISTA: </w:t>
      </w:r>
      <w:r w:rsidRPr="00DD49DA">
        <w:t>La Constitución de la República, votada y proclamada por la Asamblea Nacional en fecha trece (13) de junio de 2015.</w:t>
      </w:r>
    </w:p>
    <w:p w:rsidR="00851356" w:rsidRPr="00DD49DA" w:rsidRDefault="00851356" w:rsidP="003A2E88">
      <w:pPr>
        <w:shd w:val="clear" w:color="auto" w:fill="FFFFFF" w:themeFill="background1"/>
        <w:spacing w:after="240" w:line="259" w:lineRule="auto"/>
        <w:jc w:val="both"/>
        <w:rPr>
          <w:b/>
        </w:rPr>
      </w:pPr>
      <w:r w:rsidRPr="00DD49DA">
        <w:rPr>
          <w:b/>
        </w:rPr>
        <w:t xml:space="preserve">VISTA: </w:t>
      </w:r>
      <w:r w:rsidRPr="00DD49DA">
        <w:t>La Ley No. 340-06 de fecha dieciocho (18) de agosto del año dos mil seis (2006) y su posterior modificación contenida en la Ley No.449-06, de fecha seis (6) de diciembre del año dos mil seis (2006).</w:t>
      </w:r>
    </w:p>
    <w:p w:rsidR="00851356" w:rsidRPr="00DD49DA" w:rsidRDefault="00851356" w:rsidP="003A2E88">
      <w:pPr>
        <w:shd w:val="clear" w:color="auto" w:fill="FFFFFF" w:themeFill="background1"/>
        <w:spacing w:after="240" w:line="259" w:lineRule="auto"/>
        <w:jc w:val="both"/>
        <w:rPr>
          <w:b/>
        </w:rPr>
      </w:pPr>
      <w:r w:rsidRPr="00DD49DA">
        <w:rPr>
          <w:b/>
        </w:rPr>
        <w:t xml:space="preserve">VISTA: </w:t>
      </w:r>
      <w:r w:rsidRPr="00DD49DA">
        <w:t>La Ley No. 107-13, sobre los Derechos de las Personas en sus Relaciones con la Administración y de Procedimiento Administrativo.</w:t>
      </w:r>
    </w:p>
    <w:p w:rsidR="00851356" w:rsidRPr="00DD49DA" w:rsidRDefault="00851356" w:rsidP="003A2E88">
      <w:pPr>
        <w:shd w:val="clear" w:color="auto" w:fill="FFFFFF" w:themeFill="background1"/>
        <w:spacing w:after="240" w:line="259" w:lineRule="auto"/>
        <w:jc w:val="both"/>
      </w:pPr>
      <w:r w:rsidRPr="00DD49DA">
        <w:rPr>
          <w:b/>
        </w:rPr>
        <w:lastRenderedPageBreak/>
        <w:t xml:space="preserve">VISTO: </w:t>
      </w:r>
      <w:r w:rsidRPr="00DD49DA">
        <w:t>El Reglamento de Aplicación de la Ley 340-06, aprobado mediante Decreto No. 543-2012, de fecha seis (6) de septiembre del año dos mil doce (2012).</w:t>
      </w:r>
    </w:p>
    <w:p w:rsidR="00851356" w:rsidRPr="00DD49DA" w:rsidRDefault="00851356" w:rsidP="003A2E88">
      <w:pPr>
        <w:shd w:val="clear" w:color="auto" w:fill="FFFFFF" w:themeFill="background1"/>
        <w:spacing w:after="240"/>
        <w:jc w:val="both"/>
        <w:rPr>
          <w:b/>
          <w:highlight w:val="white"/>
        </w:rPr>
      </w:pPr>
      <w:r w:rsidRPr="00DD49DA">
        <w:rPr>
          <w:b/>
          <w:highlight w:val="white"/>
        </w:rPr>
        <w:t>CONSIDERANDO:</w:t>
      </w:r>
      <w:r w:rsidRPr="00DD49DA">
        <w:rPr>
          <w:highlight w:val="white"/>
        </w:rPr>
        <w:t xml:space="preserve"> Que, de conformidad con la legislación pertinente, es atribución de este Comité de Compras y Contrataciones adjudicar las contrataciones que cumplan con el voto de la ley.</w:t>
      </w:r>
    </w:p>
    <w:p w:rsidR="00851356" w:rsidRPr="003A2E88" w:rsidRDefault="00851356" w:rsidP="003A2E88">
      <w:pPr>
        <w:shd w:val="clear" w:color="auto" w:fill="FFFFFF" w:themeFill="background1"/>
        <w:spacing w:after="240"/>
        <w:jc w:val="both"/>
        <w:rPr>
          <w:b/>
          <w:highlight w:val="white"/>
        </w:rPr>
      </w:pPr>
      <w:r w:rsidRPr="00851356">
        <w:rPr>
          <w:b/>
          <w:highlight w:val="white"/>
        </w:rPr>
        <w:t xml:space="preserve">CONSIDERANDO: </w:t>
      </w:r>
      <w:r w:rsidRPr="003A2E88">
        <w:rPr>
          <w:bCs/>
          <w:highlight w:val="white"/>
        </w:rPr>
        <w:t xml:space="preserve">Que el Artículo 24 de la Ley 340-06 de Compras y Contrataciones establece que: </w:t>
      </w:r>
      <w:r w:rsidR="003A2E88">
        <w:rPr>
          <w:bCs/>
          <w:highlight w:val="white"/>
        </w:rPr>
        <w:t>«</w:t>
      </w:r>
      <w:r w:rsidRPr="003A2E88">
        <w:rPr>
          <w:bCs/>
          <w:highlight w:val="white"/>
        </w:rPr>
        <w:t>Toda entidad contratante podrá cancelar o declarar desierto un proceso de compra o contratación mediante el dictado de un acto administrativo, antes de la adjudicación, siempre y cuando existan informes de carácter legal y técnico debidamente justificados</w:t>
      </w:r>
      <w:r w:rsidR="003A2E88">
        <w:rPr>
          <w:bCs/>
          <w:highlight w:val="white"/>
        </w:rPr>
        <w:t>»</w:t>
      </w:r>
      <w:r w:rsidRPr="003A2E88">
        <w:rPr>
          <w:bCs/>
          <w:highlight w:val="white"/>
        </w:rPr>
        <w:t xml:space="preserve"> [Nuestro Resaltado].</w:t>
      </w:r>
    </w:p>
    <w:p w:rsidR="00851356" w:rsidRPr="00DD49DA" w:rsidRDefault="00851356" w:rsidP="003A2E88">
      <w:pPr>
        <w:shd w:val="clear" w:color="auto" w:fill="FFFFFF" w:themeFill="background1"/>
        <w:spacing w:after="240" w:line="259" w:lineRule="auto"/>
        <w:jc w:val="both"/>
      </w:pPr>
      <w:r w:rsidRPr="003A2E88">
        <w:rPr>
          <w:b/>
          <w:bCs/>
        </w:rPr>
        <w:t xml:space="preserve">CONSIDERANDO: </w:t>
      </w:r>
      <w:r w:rsidRPr="00851356">
        <w:t>Que el Artículo 24 en su párrafo II, de la Ley 340-06 de Compras y Contrataciones establece que:</w:t>
      </w:r>
      <w:r w:rsidRPr="00DD49DA">
        <w:t xml:space="preserve"> </w:t>
      </w:r>
      <w:r w:rsidRPr="00851356">
        <w:t>Si en la reapertura, se produjese una segunda declaratoria de desierto el expediente del proceso será archivado. En esta situación la entidad podrá realizar ajustes sustanciales de los pliegos de condiciones, para iniciar un nuevo proceso sujetándose a esta ley y a los reglamentos.</w:t>
      </w:r>
    </w:p>
    <w:p w:rsidR="00851356" w:rsidRPr="00DD49DA" w:rsidRDefault="00851356" w:rsidP="003A2E88">
      <w:pPr>
        <w:shd w:val="clear" w:color="auto" w:fill="FFFFFF" w:themeFill="background1"/>
        <w:spacing w:after="240" w:line="259" w:lineRule="auto"/>
        <w:jc w:val="both"/>
      </w:pPr>
      <w:r w:rsidRPr="003A2E88">
        <w:rPr>
          <w:b/>
          <w:bCs/>
        </w:rPr>
        <w:t xml:space="preserve">CONSIDERANDO: </w:t>
      </w:r>
      <w:r w:rsidRPr="00DD49DA">
        <w:t>Que el Comité debe de garantizar que las compras que realice la Institución sean llevadas a cabo de conformidad con la normativa legal vigente y estas deben apegarse a los principios de transparencia, participación e igualdad de condiciones para todos los oferentes.</w:t>
      </w:r>
    </w:p>
    <w:p w:rsidR="00851356" w:rsidRDefault="00851356" w:rsidP="003A2E88">
      <w:pPr>
        <w:shd w:val="clear" w:color="auto" w:fill="FFFFFF" w:themeFill="background1"/>
        <w:spacing w:after="240" w:line="259" w:lineRule="auto"/>
        <w:jc w:val="both"/>
      </w:pPr>
      <w:r w:rsidRPr="003A2E88">
        <w:rPr>
          <w:b/>
          <w:bCs/>
        </w:rPr>
        <w:t>CONSIDERANDO:</w:t>
      </w:r>
      <w:r w:rsidRPr="00DD49DA">
        <w:t xml:space="preserve"> Que el informe enviado por la comisión evaluadora recomienda que el proceso sea declarado desierto en virtud de que los oferentes</w:t>
      </w:r>
      <w:r>
        <w:t xml:space="preserve"> presentados no superaron la etapa de evaluación técnica, según lo establecido en el Pliego de Condiciones del proceso en cuestión. </w:t>
      </w:r>
    </w:p>
    <w:p w:rsidR="00851356" w:rsidRPr="00DD49DA" w:rsidRDefault="00851356" w:rsidP="003A2E88">
      <w:pPr>
        <w:shd w:val="clear" w:color="auto" w:fill="FFFFFF" w:themeFill="background1"/>
        <w:spacing w:after="240" w:line="259" w:lineRule="auto"/>
        <w:jc w:val="both"/>
      </w:pPr>
      <w:r w:rsidRPr="003A2E88">
        <w:rPr>
          <w:b/>
          <w:bCs/>
        </w:rPr>
        <w:t>CONSIDERANDO:</w:t>
      </w:r>
      <w:r>
        <w:t xml:space="preserve"> Que los </w:t>
      </w:r>
      <w:bookmarkStart w:id="4" w:name="_Hlk78530678"/>
      <w:r>
        <w:t>Estados Financieros correspondientes a los dos (2) últimos ejercicios contables</w:t>
      </w:r>
      <w:bookmarkEnd w:id="4"/>
      <w:r>
        <w:t xml:space="preserve"> de las empresas </w:t>
      </w:r>
      <w:r w:rsidRPr="006116A9">
        <w:rPr>
          <w:b/>
          <w:bCs/>
        </w:rPr>
        <w:t>PETROMOVIL, S.A.  y SUNIX PETROLEUM, S.R.L.</w:t>
      </w:r>
      <w:r w:rsidR="006116A9">
        <w:rPr>
          <w:b/>
          <w:bCs/>
        </w:rPr>
        <w:t>,</w:t>
      </w:r>
      <w:r>
        <w:t xml:space="preserve"> no </w:t>
      </w:r>
      <w:r w:rsidR="00386338">
        <w:t xml:space="preserve">superaron la escala de puntuación asignada en el Pliego de Condiciones para el criterio </w:t>
      </w:r>
      <w:r w:rsidR="00386338" w:rsidRPr="006116A9">
        <w:rPr>
          <w:b/>
          <w:bCs/>
        </w:rPr>
        <w:t>«Documentación Financiera»,</w:t>
      </w:r>
      <w:r w:rsidR="00386338">
        <w:t xml:space="preserve"> mientras que la empresa </w:t>
      </w:r>
      <w:r w:rsidR="00386338" w:rsidRPr="006116A9">
        <w:rPr>
          <w:b/>
          <w:bCs/>
        </w:rPr>
        <w:t>SIGMA PETROLEUM CORP, S.R.L,</w:t>
      </w:r>
      <w:r w:rsidR="00386338">
        <w:t xml:space="preserve"> </w:t>
      </w:r>
      <w:bookmarkStart w:id="5" w:name="_Hlk78531879"/>
      <w:r w:rsidR="00386338">
        <w:t xml:space="preserve">no superó la escala de puntuación asignada (mínimo cincuenta y cinco (55) puntos) a la </w:t>
      </w:r>
      <w:r w:rsidR="00386338" w:rsidRPr="006116A9">
        <w:rPr>
          <w:b/>
          <w:bCs/>
        </w:rPr>
        <w:t>«Oferta Técnica».</w:t>
      </w:r>
      <w:bookmarkEnd w:id="5"/>
    </w:p>
    <w:p w:rsidR="00851356" w:rsidRPr="00851356" w:rsidRDefault="00851356" w:rsidP="003A2E88">
      <w:pPr>
        <w:shd w:val="clear" w:color="auto" w:fill="FFFFFF" w:themeFill="background1"/>
        <w:spacing w:after="240" w:line="259" w:lineRule="auto"/>
        <w:jc w:val="both"/>
      </w:pPr>
      <w:r w:rsidRPr="00851356">
        <w:t>En virtud de lo anterior, el Comité de Compras y Contrataciones del Instituto Superior de Formación Docente Salomé Ureña en el ejercicio de sus facultades legales y reglamentarias que les confieren la Ley No. 340-06, su Reglamento de Aplicación No.</w:t>
      </w:r>
      <w:r w:rsidR="00386338">
        <w:t xml:space="preserve">: </w:t>
      </w:r>
      <w:r w:rsidRPr="00851356">
        <w:t xml:space="preserve">543-12, y en cumplimiento con las disposiciones establecidas en el </w:t>
      </w:r>
      <w:r w:rsidR="00386338" w:rsidRPr="00851356">
        <w:t xml:space="preserve">Pliego </w:t>
      </w:r>
      <w:r w:rsidR="00386338">
        <w:t>d</w:t>
      </w:r>
      <w:r w:rsidR="00386338" w:rsidRPr="00851356">
        <w:t>e Condiciones Específicas</w:t>
      </w:r>
      <w:r w:rsidRPr="00851356">
        <w:t xml:space="preserve">, elaborado para tales fines y efectos, después de analizar y evaluar </w:t>
      </w:r>
      <w:r w:rsidR="00386338">
        <w:t>el Informe de Evaluación presentad</w:t>
      </w:r>
      <w:r w:rsidR="00B7114C">
        <w:t>o</w:t>
      </w:r>
      <w:r w:rsidR="00386338">
        <w:t xml:space="preserve"> por los peritos del proceso en cuestión</w:t>
      </w:r>
      <w:r w:rsidR="00B7114C">
        <w:t xml:space="preserve"> según las ofertas presentadas por las empresas participantes,</w:t>
      </w:r>
    </w:p>
    <w:p w:rsidR="00851356" w:rsidRPr="00851356" w:rsidRDefault="00851356" w:rsidP="003A2E88">
      <w:pPr>
        <w:shd w:val="clear" w:color="auto" w:fill="FFFFFF" w:themeFill="background1"/>
        <w:spacing w:after="240" w:line="259" w:lineRule="auto"/>
        <w:jc w:val="center"/>
      </w:pPr>
      <w:r w:rsidRPr="00851356">
        <w:t>R E S U E L V E</w:t>
      </w:r>
    </w:p>
    <w:p w:rsidR="00851356" w:rsidRPr="00851356" w:rsidRDefault="00851356" w:rsidP="003A2E88">
      <w:pPr>
        <w:shd w:val="clear" w:color="auto" w:fill="FFFFFF" w:themeFill="background1"/>
        <w:spacing w:after="240" w:line="259" w:lineRule="auto"/>
        <w:jc w:val="both"/>
      </w:pPr>
      <w:r w:rsidRPr="003A2E88">
        <w:rPr>
          <w:b/>
          <w:bCs/>
        </w:rPr>
        <w:t>PRIMERO: DECLARAR DESIERTO</w:t>
      </w:r>
      <w:r w:rsidRPr="00DD49DA">
        <w:t xml:space="preserve"> el proceso para </w:t>
      </w:r>
      <w:r w:rsidR="00B7114C">
        <w:t xml:space="preserve">la </w:t>
      </w:r>
      <w:r w:rsidR="00B7114C" w:rsidRPr="00B7114C">
        <w:rPr>
          <w:b/>
          <w:bCs/>
        </w:rPr>
        <w:t>«</w:t>
      </w:r>
      <w:r w:rsidR="00B7114C" w:rsidRPr="00B7114C">
        <w:rPr>
          <w:b/>
          <w:bCs/>
          <w:color w:val="000000"/>
        </w:rPr>
        <w:t>Adquisición de Tickets Prepagos de Combustible para uso de la Rectoría del ISFODOSU</w:t>
      </w:r>
      <w:r w:rsidR="00B7114C" w:rsidRPr="00B7114C">
        <w:rPr>
          <w:b/>
          <w:bCs/>
        </w:rPr>
        <w:t>»</w:t>
      </w:r>
      <w:r w:rsidRPr="00851356">
        <w:t xml:space="preserve">, </w:t>
      </w:r>
      <w:r w:rsidR="00B7114C">
        <w:t>r</w:t>
      </w:r>
      <w:r w:rsidRPr="00DD49DA">
        <w:t>eferencia</w:t>
      </w:r>
      <w:r w:rsidR="00B7114C">
        <w:t xml:space="preserve"> No.: </w:t>
      </w:r>
      <w:r w:rsidRPr="00DD49DA">
        <w:t xml:space="preserve"> ISFODOSU-CCC-CP-2021-000</w:t>
      </w:r>
      <w:r w:rsidR="00B7114C">
        <w:t>4,</w:t>
      </w:r>
      <w:r w:rsidRPr="00DD49DA">
        <w:t xml:space="preserve"> debido a que los oferentes </w:t>
      </w:r>
      <w:r w:rsidR="00B7114C">
        <w:t>participantes</w:t>
      </w:r>
      <w:r w:rsidRPr="00DD49DA">
        <w:t xml:space="preserve"> no </w:t>
      </w:r>
      <w:r w:rsidR="00B7114C">
        <w:t xml:space="preserve">superaron la etapa de evaluación de la documentación contenida en el </w:t>
      </w:r>
      <w:r w:rsidR="00B7114C" w:rsidRPr="003A2E88">
        <w:rPr>
          <w:b/>
          <w:bCs/>
        </w:rPr>
        <w:t>«Sobre A»:</w:t>
      </w:r>
      <w:r w:rsidR="00B7114C">
        <w:t xml:space="preserve"> </w:t>
      </w:r>
      <w:r w:rsidR="00B7114C" w:rsidRPr="00B7114C">
        <w:rPr>
          <w:b/>
          <w:bCs/>
          <w:i/>
          <w:iCs/>
        </w:rPr>
        <w:t>Oferta Técnica</w:t>
      </w:r>
      <w:r w:rsidRPr="00DD49DA">
        <w:t xml:space="preserve">. </w:t>
      </w:r>
    </w:p>
    <w:p w:rsidR="00851356" w:rsidRDefault="00B7114C" w:rsidP="003A2E88">
      <w:pPr>
        <w:shd w:val="clear" w:color="auto" w:fill="FFFFFF" w:themeFill="background1"/>
        <w:spacing w:after="240" w:line="259" w:lineRule="auto"/>
        <w:jc w:val="both"/>
      </w:pPr>
      <w:r w:rsidRPr="003A2E88">
        <w:rPr>
          <w:b/>
          <w:bCs/>
        </w:rPr>
        <w:lastRenderedPageBreak/>
        <w:t>SEGUNDO</w:t>
      </w:r>
      <w:r w:rsidR="00851356" w:rsidRPr="003A2E88">
        <w:rPr>
          <w:b/>
          <w:bCs/>
        </w:rPr>
        <w:t>: INSTRUIR</w:t>
      </w:r>
      <w:r w:rsidR="00851356" w:rsidRPr="00851356">
        <w:t xml:space="preserve"> </w:t>
      </w:r>
      <w:r w:rsidR="00851356" w:rsidRPr="00DD49DA">
        <w:t>a la División de Compras y Contrataciones del Instituto Superior de Formación Docente Salomé Ureña (ISFODOSU) a la reapertura de un proceso con la finalidad de suplir las necesidades.</w:t>
      </w:r>
    </w:p>
    <w:p w:rsidR="003A2E88" w:rsidRDefault="003A2E88" w:rsidP="003A2E88">
      <w:pPr>
        <w:shd w:val="clear" w:color="auto" w:fill="FFFFFF" w:themeFill="background1"/>
        <w:spacing w:after="240"/>
        <w:ind w:right="108"/>
        <w:jc w:val="both"/>
      </w:pPr>
      <w:r w:rsidRPr="003A2E88">
        <w:rPr>
          <w:b/>
          <w:bCs/>
        </w:rPr>
        <w:t>TERCERO: ORDENAR como al efecto ORDENA</w:t>
      </w:r>
      <w:r>
        <w:t xml:space="preserve"> al Departamento de Compras y Contrataciones, difundir la presente acta en los portales de la entidad contratante y en el portal de Compras y Contrataciones.</w:t>
      </w:r>
    </w:p>
    <w:p w:rsidR="003A2E88" w:rsidRDefault="003A2E88" w:rsidP="003A2E88">
      <w:pPr>
        <w:shd w:val="clear" w:color="auto" w:fill="FFFFFF" w:themeFill="background1"/>
        <w:spacing w:after="240"/>
        <w:ind w:right="99"/>
        <w:jc w:val="both"/>
      </w:pPr>
      <w:r>
        <w:t>Concluida esta resolución, se dio por terminada la sesión, siendo las tres (3) horas de la tarde (03:00 p.m.), en fe de lo cual se levanta la presente acta, que firman todos los presentes en calidad de aprobación y conformidad con lo aquí establecido.</w:t>
      </w:r>
    </w:p>
    <w:p w:rsidR="00B52342" w:rsidRDefault="00B52342" w:rsidP="0001614F">
      <w:pPr>
        <w:jc w:val="both"/>
        <w:rPr>
          <w:b/>
        </w:rPr>
      </w:pPr>
    </w:p>
    <w:p w:rsidR="00B52342" w:rsidRPr="0001614F" w:rsidRDefault="00B52342" w:rsidP="0001614F">
      <w:pPr>
        <w:jc w:val="both"/>
        <w:rPr>
          <w:b/>
        </w:rPr>
      </w:pPr>
    </w:p>
    <w:p w:rsidR="007C1EA7" w:rsidRPr="0001614F" w:rsidRDefault="007C1EA7" w:rsidP="0001614F">
      <w:pPr>
        <w:jc w:val="both"/>
        <w:rPr>
          <w:b/>
        </w:rPr>
      </w:pPr>
    </w:p>
    <w:p w:rsidR="007C1EA7" w:rsidRPr="0001614F" w:rsidRDefault="0099457B" w:rsidP="0001614F">
      <w:pPr>
        <w:jc w:val="both"/>
        <w:rPr>
          <w:b/>
        </w:rPr>
      </w:pPr>
      <w:r w:rsidRPr="0001614F">
        <w:rPr>
          <w:b/>
        </w:rPr>
        <w:t xml:space="preserve">        </w:t>
      </w:r>
      <w:r w:rsidR="00B52342">
        <w:rPr>
          <w:b/>
        </w:rPr>
        <w:t xml:space="preserve">  </w:t>
      </w:r>
      <w:r w:rsidRPr="0001614F">
        <w:rPr>
          <w:b/>
        </w:rPr>
        <w:t xml:space="preserve">        Betania Cordero                                                                 </w:t>
      </w:r>
      <w:r w:rsidR="00B52342">
        <w:rPr>
          <w:b/>
        </w:rPr>
        <w:t xml:space="preserve">       </w:t>
      </w:r>
      <w:r w:rsidRPr="0001614F">
        <w:rPr>
          <w:b/>
        </w:rPr>
        <w:t xml:space="preserve">  Ivanna García</w:t>
      </w:r>
    </w:p>
    <w:p w:rsidR="007C1EA7" w:rsidRPr="0001614F" w:rsidRDefault="0099457B" w:rsidP="0001614F">
      <w:pPr>
        <w:jc w:val="both"/>
        <w:rPr>
          <w:b/>
        </w:rPr>
      </w:pPr>
      <w:r w:rsidRPr="0001614F">
        <w:rPr>
          <w:b/>
        </w:rPr>
        <w:t xml:space="preserve">                        </w:t>
      </w:r>
      <w:proofErr w:type="spellStart"/>
      <w:r w:rsidRPr="0001614F">
        <w:rPr>
          <w:b/>
        </w:rPr>
        <w:t>Miembo</w:t>
      </w:r>
      <w:proofErr w:type="spellEnd"/>
      <w:r w:rsidRPr="0001614F">
        <w:rPr>
          <w:b/>
        </w:rPr>
        <w:t xml:space="preserve">                                                                                </w:t>
      </w:r>
      <w:r w:rsidR="00B52342">
        <w:rPr>
          <w:b/>
        </w:rPr>
        <w:t xml:space="preserve"> </w:t>
      </w:r>
      <w:r w:rsidRPr="0001614F">
        <w:rPr>
          <w:b/>
        </w:rPr>
        <w:t xml:space="preserve">     Miembro</w:t>
      </w:r>
    </w:p>
    <w:p w:rsidR="007C1EA7" w:rsidRPr="0001614F" w:rsidRDefault="007C1EA7" w:rsidP="0001614F">
      <w:pPr>
        <w:jc w:val="both"/>
        <w:rPr>
          <w:b/>
        </w:rPr>
      </w:pPr>
    </w:p>
    <w:p w:rsidR="007C1EA7" w:rsidRPr="0001614F" w:rsidRDefault="007C1EA7" w:rsidP="0001614F">
      <w:pPr>
        <w:jc w:val="both"/>
      </w:pPr>
    </w:p>
    <w:p w:rsidR="007C1EA7" w:rsidRPr="0001614F" w:rsidRDefault="007C1EA7" w:rsidP="0001614F">
      <w:pPr>
        <w:jc w:val="both"/>
      </w:pPr>
    </w:p>
    <w:p w:rsidR="007C1EA7" w:rsidRPr="0001614F" w:rsidRDefault="007C1EA7" w:rsidP="0001614F">
      <w:pPr>
        <w:jc w:val="both"/>
      </w:pPr>
    </w:p>
    <w:p w:rsidR="007C1EA7" w:rsidRPr="0001614F" w:rsidRDefault="007C1EA7" w:rsidP="0001614F">
      <w:pPr>
        <w:jc w:val="both"/>
        <w:rPr>
          <w:b/>
        </w:rPr>
      </w:pPr>
    </w:p>
    <w:p w:rsidR="007C1EA7" w:rsidRPr="0001614F" w:rsidRDefault="0099457B" w:rsidP="0001614F">
      <w:pPr>
        <w:jc w:val="both"/>
        <w:rPr>
          <w:b/>
        </w:rPr>
      </w:pPr>
      <w:r w:rsidRPr="0001614F">
        <w:rPr>
          <w:b/>
        </w:rPr>
        <w:t xml:space="preserve">             José Ernesto Jiménez         </w:t>
      </w:r>
      <w:r w:rsidRPr="0001614F">
        <w:rPr>
          <w:b/>
        </w:rPr>
        <w:tab/>
      </w:r>
      <w:r w:rsidRPr="0001614F">
        <w:rPr>
          <w:b/>
        </w:rPr>
        <w:tab/>
      </w:r>
      <w:r w:rsidRPr="0001614F">
        <w:rPr>
          <w:b/>
        </w:rPr>
        <w:tab/>
      </w:r>
      <w:r w:rsidRPr="0001614F">
        <w:rPr>
          <w:b/>
        </w:rPr>
        <w:tab/>
      </w:r>
      <w:r w:rsidRPr="0001614F">
        <w:rPr>
          <w:b/>
        </w:rPr>
        <w:tab/>
      </w:r>
      <w:r w:rsidR="00B52342">
        <w:rPr>
          <w:b/>
        </w:rPr>
        <w:t xml:space="preserve">   </w:t>
      </w:r>
      <w:r w:rsidRPr="0001614F">
        <w:rPr>
          <w:b/>
        </w:rPr>
        <w:t xml:space="preserve"> José Elías Hernández</w:t>
      </w:r>
    </w:p>
    <w:p w:rsidR="007C1EA7" w:rsidRPr="0001614F" w:rsidRDefault="0099457B" w:rsidP="0001614F">
      <w:pPr>
        <w:jc w:val="both"/>
        <w:rPr>
          <w:b/>
        </w:rPr>
      </w:pPr>
      <w:r w:rsidRPr="0001614F">
        <w:rPr>
          <w:b/>
        </w:rPr>
        <w:t xml:space="preserve">                       Miembro   </w:t>
      </w:r>
      <w:r w:rsidRPr="0001614F">
        <w:t xml:space="preserve">                                                                                  </w:t>
      </w:r>
      <w:proofErr w:type="spellStart"/>
      <w:r w:rsidRPr="0001614F">
        <w:rPr>
          <w:b/>
        </w:rPr>
        <w:t>Miembro</w:t>
      </w:r>
      <w:proofErr w:type="spellEnd"/>
      <w:r w:rsidRPr="0001614F">
        <w:t xml:space="preserve">                                                                                            </w:t>
      </w:r>
    </w:p>
    <w:p w:rsidR="007C1EA7" w:rsidRPr="0001614F" w:rsidRDefault="0099457B" w:rsidP="0001614F">
      <w:pPr>
        <w:jc w:val="both"/>
        <w:rPr>
          <w:b/>
        </w:rPr>
      </w:pPr>
      <w:r w:rsidRPr="0001614F">
        <w:rPr>
          <w:b/>
        </w:rPr>
        <w:t xml:space="preserve">                                                                                                                              </w:t>
      </w:r>
    </w:p>
    <w:p w:rsidR="007C1EA7" w:rsidRDefault="007C1EA7" w:rsidP="0001614F">
      <w:pPr>
        <w:jc w:val="both"/>
      </w:pPr>
    </w:p>
    <w:p w:rsidR="00B52342" w:rsidRDefault="00B52342" w:rsidP="0001614F">
      <w:pPr>
        <w:jc w:val="both"/>
      </w:pPr>
    </w:p>
    <w:p w:rsidR="00B52342" w:rsidRPr="0001614F" w:rsidRDefault="00B52342" w:rsidP="0001614F">
      <w:pPr>
        <w:jc w:val="both"/>
      </w:pPr>
    </w:p>
    <w:p w:rsidR="007C1EA7" w:rsidRPr="0001614F" w:rsidRDefault="007C1EA7" w:rsidP="0001614F">
      <w:pPr>
        <w:jc w:val="both"/>
      </w:pPr>
    </w:p>
    <w:p w:rsidR="007C1EA7" w:rsidRPr="0001614F" w:rsidRDefault="0099457B" w:rsidP="00B52342">
      <w:pPr>
        <w:pBdr>
          <w:top w:val="nil"/>
          <w:left w:val="nil"/>
          <w:bottom w:val="nil"/>
          <w:right w:val="nil"/>
          <w:between w:val="nil"/>
        </w:pBdr>
        <w:jc w:val="center"/>
        <w:rPr>
          <w:b/>
          <w:color w:val="000000"/>
        </w:rPr>
      </w:pPr>
      <w:proofErr w:type="spellStart"/>
      <w:r w:rsidRPr="0001614F">
        <w:rPr>
          <w:b/>
          <w:color w:val="000000"/>
        </w:rPr>
        <w:t>Milta</w:t>
      </w:r>
      <w:proofErr w:type="spellEnd"/>
      <w:r w:rsidRPr="0001614F">
        <w:rPr>
          <w:b/>
          <w:color w:val="000000"/>
        </w:rPr>
        <w:t xml:space="preserve"> Lora</w:t>
      </w:r>
    </w:p>
    <w:p w:rsidR="007C1EA7" w:rsidRPr="0001614F" w:rsidRDefault="0099457B" w:rsidP="00B52342">
      <w:pPr>
        <w:pBdr>
          <w:top w:val="nil"/>
          <w:left w:val="nil"/>
          <w:bottom w:val="nil"/>
          <w:right w:val="nil"/>
          <w:between w:val="nil"/>
        </w:pBdr>
        <w:jc w:val="center"/>
        <w:rPr>
          <w:color w:val="000000"/>
        </w:rPr>
      </w:pPr>
      <w:r w:rsidRPr="0001614F">
        <w:rPr>
          <w:color w:val="000000"/>
        </w:rPr>
        <w:t>En representación de</w:t>
      </w:r>
    </w:p>
    <w:p w:rsidR="007C1EA7" w:rsidRPr="0001614F" w:rsidRDefault="0099457B" w:rsidP="00B52342">
      <w:pPr>
        <w:pBdr>
          <w:top w:val="nil"/>
          <w:left w:val="nil"/>
          <w:bottom w:val="nil"/>
          <w:right w:val="nil"/>
          <w:between w:val="nil"/>
        </w:pBdr>
        <w:jc w:val="center"/>
        <w:rPr>
          <w:color w:val="000000"/>
        </w:rPr>
      </w:pPr>
      <w:proofErr w:type="spellStart"/>
      <w:r w:rsidRPr="0001614F">
        <w:rPr>
          <w:color w:val="000000"/>
        </w:rPr>
        <w:t>Nury</w:t>
      </w:r>
      <w:proofErr w:type="spellEnd"/>
      <w:r w:rsidRPr="0001614F">
        <w:rPr>
          <w:color w:val="000000"/>
        </w:rPr>
        <w:t xml:space="preserve"> María Del Carmen González</w:t>
      </w:r>
    </w:p>
    <w:p w:rsidR="007C1EA7" w:rsidRPr="0001614F" w:rsidRDefault="0099457B" w:rsidP="00B52342">
      <w:pPr>
        <w:pBdr>
          <w:top w:val="nil"/>
          <w:left w:val="nil"/>
          <w:bottom w:val="nil"/>
          <w:right w:val="nil"/>
          <w:between w:val="nil"/>
        </w:pBdr>
        <w:jc w:val="center"/>
        <w:rPr>
          <w:b/>
          <w:color w:val="000000"/>
        </w:rPr>
      </w:pPr>
      <w:r w:rsidRPr="0001614F">
        <w:rPr>
          <w:b/>
          <w:color w:val="000000"/>
        </w:rPr>
        <w:t>Presidenta</w:t>
      </w:r>
    </w:p>
    <w:p w:rsidR="007C1EA7" w:rsidRPr="0001614F" w:rsidRDefault="007C1EA7" w:rsidP="0001614F">
      <w:pPr>
        <w:jc w:val="both"/>
        <w:rPr>
          <w:b/>
          <w:color w:val="000000"/>
        </w:rPr>
      </w:pPr>
    </w:p>
    <w:sectPr w:rsidR="007C1EA7" w:rsidRPr="0001614F">
      <w:headerReference w:type="even" r:id="rId11"/>
      <w:headerReference w:type="default" r:id="rId12"/>
      <w:footerReference w:type="even" r:id="rId13"/>
      <w:footerReference w:type="default" r:id="rId14"/>
      <w:pgSz w:w="12242" w:h="15842"/>
      <w:pgMar w:top="1135" w:right="1440" w:bottom="1701"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3AE" w:rsidRDefault="00B343AE">
      <w:r>
        <w:separator/>
      </w:r>
    </w:p>
  </w:endnote>
  <w:endnote w:type="continuationSeparator" w:id="0">
    <w:p w:rsidR="00B343AE" w:rsidRDefault="00B34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A7" w:rsidRDefault="0099457B">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rsidR="007C1EA7" w:rsidRDefault="007C1EA7">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A7" w:rsidRDefault="0099457B">
    <w:pPr>
      <w:pBdr>
        <w:top w:val="nil"/>
        <w:left w:val="nil"/>
        <w:bottom w:val="nil"/>
        <w:right w:val="nil"/>
        <w:between w:val="nil"/>
      </w:pBdr>
      <w:tabs>
        <w:tab w:val="center" w:pos="4252"/>
        <w:tab w:val="right" w:pos="8504"/>
      </w:tabs>
      <w:rPr>
        <w:color w:val="000000"/>
      </w:rPr>
    </w:pPr>
    <w:r>
      <w:rPr>
        <w:b/>
        <w:color w:val="000000"/>
        <w:sz w:val="20"/>
        <w:szCs w:val="20"/>
      </w:rPr>
      <w:t>Proceso de referencia no. ISFODOSU-CCC-CP-2021-000</w:t>
    </w:r>
    <w:r w:rsidR="003A2E88">
      <w:rPr>
        <w:b/>
        <w:color w:val="000000"/>
        <w:sz w:val="20"/>
        <w:szCs w:val="20"/>
      </w:rPr>
      <w:t>4</w:t>
    </w:r>
  </w:p>
  <w:p w:rsidR="007C1EA7" w:rsidRDefault="0099457B">
    <w:pPr>
      <w:pBdr>
        <w:top w:val="nil"/>
        <w:left w:val="nil"/>
        <w:bottom w:val="nil"/>
        <w:right w:val="nil"/>
        <w:between w:val="nil"/>
      </w:pBdr>
      <w:tabs>
        <w:tab w:val="center" w:pos="4252"/>
        <w:tab w:val="right" w:pos="8504"/>
      </w:tabs>
      <w:jc w:val="right"/>
      <w:rPr>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sidR="005D160A">
      <w:rPr>
        <w:b/>
        <w:noProof/>
        <w:color w:val="000000"/>
      </w:rPr>
      <w:t>3</w:t>
    </w:r>
    <w:r>
      <w:rPr>
        <w:b/>
        <w:color w:val="000000"/>
      </w:rPr>
      <w:fldChar w:fldCharType="end"/>
    </w:r>
    <w:r>
      <w:rPr>
        <w:color w:val="000000"/>
      </w:rPr>
      <w:t xml:space="preserve"> de </w:t>
    </w:r>
    <w:r w:rsidR="003A2E88">
      <w:rPr>
        <w:b/>
        <w:color w:val="000000"/>
      </w:rPr>
      <w:t>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3AE" w:rsidRDefault="00B343AE">
      <w:r>
        <w:separator/>
      </w:r>
    </w:p>
  </w:footnote>
  <w:footnote w:type="continuationSeparator" w:id="0">
    <w:p w:rsidR="00B343AE" w:rsidRDefault="00B343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A7" w:rsidRDefault="0099457B">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7C1EA7" w:rsidRDefault="007C1EA7">
    <w:pPr>
      <w:pBdr>
        <w:top w:val="nil"/>
        <w:left w:val="nil"/>
        <w:bottom w:val="nil"/>
        <w:right w:val="nil"/>
        <w:between w:val="nil"/>
      </w:pBdr>
      <w:tabs>
        <w:tab w:val="center" w:pos="4320"/>
        <w:tab w:val="right" w:pos="8640"/>
      </w:tabs>
      <w:ind w:right="36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A7" w:rsidRDefault="007C1EA7">
    <w:pPr>
      <w:pBdr>
        <w:top w:val="nil"/>
        <w:left w:val="nil"/>
        <w:bottom w:val="nil"/>
        <w:right w:val="nil"/>
        <w:between w:val="nil"/>
      </w:pBdr>
      <w:tabs>
        <w:tab w:val="center" w:pos="4320"/>
        <w:tab w:val="right" w:pos="8640"/>
      </w:tabs>
      <w:ind w:right="360"/>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2A5F"/>
    <w:multiLevelType w:val="hybridMultilevel"/>
    <w:tmpl w:val="64B86710"/>
    <w:lvl w:ilvl="0" w:tplc="3CCA64E4">
      <w:start w:val="1"/>
      <w:numFmt w:val="bullet"/>
      <w:lvlText w:val="•"/>
      <w:lvlJc w:val="left"/>
      <w:pPr>
        <w:ind w:left="7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E3EC63C6">
      <w:start w:val="1"/>
      <w:numFmt w:val="bullet"/>
      <w:lvlText w:val="o"/>
      <w:lvlJc w:val="left"/>
      <w:pPr>
        <w:ind w:left="14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900B8BA">
      <w:start w:val="1"/>
      <w:numFmt w:val="bullet"/>
      <w:lvlText w:val="▪"/>
      <w:lvlJc w:val="left"/>
      <w:pPr>
        <w:ind w:left="21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33A9752">
      <w:start w:val="1"/>
      <w:numFmt w:val="bullet"/>
      <w:lvlText w:val="•"/>
      <w:lvlJc w:val="left"/>
      <w:pPr>
        <w:ind w:left="28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CCA0C6B8">
      <w:start w:val="1"/>
      <w:numFmt w:val="bullet"/>
      <w:lvlText w:val="o"/>
      <w:lvlJc w:val="left"/>
      <w:pPr>
        <w:ind w:left="360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F5A6ACBE">
      <w:start w:val="1"/>
      <w:numFmt w:val="bullet"/>
      <w:lvlText w:val="▪"/>
      <w:lvlJc w:val="left"/>
      <w:pPr>
        <w:ind w:left="432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848084DA">
      <w:start w:val="1"/>
      <w:numFmt w:val="bullet"/>
      <w:lvlText w:val="•"/>
      <w:lvlJc w:val="left"/>
      <w:pPr>
        <w:ind w:left="50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0D6073A4">
      <w:start w:val="1"/>
      <w:numFmt w:val="bullet"/>
      <w:lvlText w:val="o"/>
      <w:lvlJc w:val="left"/>
      <w:pPr>
        <w:ind w:left="57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D6925004">
      <w:start w:val="1"/>
      <w:numFmt w:val="bullet"/>
      <w:lvlText w:val="▪"/>
      <w:lvlJc w:val="left"/>
      <w:pPr>
        <w:ind w:left="64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 w15:restartNumberingAfterBreak="0">
    <w:nsid w:val="422E2A1B"/>
    <w:multiLevelType w:val="multilevel"/>
    <w:tmpl w:val="EFD2CF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EA7"/>
    <w:rsid w:val="0001614F"/>
    <w:rsid w:val="00316043"/>
    <w:rsid w:val="00386338"/>
    <w:rsid w:val="003A2E88"/>
    <w:rsid w:val="0056394C"/>
    <w:rsid w:val="005D160A"/>
    <w:rsid w:val="006116A9"/>
    <w:rsid w:val="006B51CA"/>
    <w:rsid w:val="007C1EA7"/>
    <w:rsid w:val="00851356"/>
    <w:rsid w:val="00935F80"/>
    <w:rsid w:val="0099457B"/>
    <w:rsid w:val="00B343AE"/>
    <w:rsid w:val="00B52342"/>
    <w:rsid w:val="00B7114C"/>
    <w:rsid w:val="00C71BAA"/>
    <w:rsid w:val="00D200F8"/>
    <w:rsid w:val="00D36BDF"/>
    <w:rsid w:val="00DD31B7"/>
    <w:rsid w:val="00EE722E"/>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190A1"/>
  <w15:docId w15:val="{6F886792-786C-48BF-A50A-5A3005600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D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054"/>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qFormat/>
    <w:rsid w:val="00CA7054"/>
    <w:pPr>
      <w:jc w:val="center"/>
    </w:pPr>
    <w:rPr>
      <w:rFonts w:ascii="Comic Sans MS" w:hAnsi="Comic Sans MS"/>
      <w:b/>
      <w:bCs/>
      <w:sz w:val="28"/>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rsid w:val="00CA7054"/>
    <w:pPr>
      <w:tabs>
        <w:tab w:val="center" w:pos="4320"/>
        <w:tab w:val="right" w:pos="8640"/>
      </w:tabs>
    </w:pPr>
  </w:style>
  <w:style w:type="character" w:customStyle="1" w:styleId="EncabezadoCar">
    <w:name w:val="Encabezado Car"/>
    <w:basedOn w:val="Fuentedeprrafopredeter"/>
    <w:link w:val="Encabezado"/>
    <w:rsid w:val="00CA7054"/>
    <w:rPr>
      <w:rFonts w:ascii="Times New Roman" w:eastAsia="Times New Roman" w:hAnsi="Times New Roman" w:cs="Times New Roman"/>
      <w:sz w:val="24"/>
      <w:szCs w:val="24"/>
      <w:lang w:eastAsia="es-ES"/>
    </w:rPr>
  </w:style>
  <w:style w:type="character" w:styleId="Nmerodepgina">
    <w:name w:val="page number"/>
    <w:basedOn w:val="Fuentedeprrafopredeter"/>
    <w:rsid w:val="00CA7054"/>
  </w:style>
  <w:style w:type="character" w:customStyle="1" w:styleId="TtuloCar">
    <w:name w:val="Título Car"/>
    <w:basedOn w:val="Fuentedeprrafopredeter"/>
    <w:link w:val="Ttulo"/>
    <w:rsid w:val="00CA7054"/>
    <w:rPr>
      <w:rFonts w:ascii="Comic Sans MS" w:eastAsia="Times New Roman" w:hAnsi="Comic Sans MS" w:cs="Times New Roman"/>
      <w:b/>
      <w:bCs/>
      <w:sz w:val="28"/>
      <w:szCs w:val="24"/>
      <w:lang w:eastAsia="es-ES"/>
    </w:rPr>
  </w:style>
  <w:style w:type="paragraph" w:styleId="Piedepgina">
    <w:name w:val="footer"/>
    <w:basedOn w:val="Normal"/>
    <w:link w:val="PiedepginaCar"/>
    <w:uiPriority w:val="99"/>
    <w:rsid w:val="00CA7054"/>
    <w:pPr>
      <w:tabs>
        <w:tab w:val="center" w:pos="4252"/>
        <w:tab w:val="right" w:pos="8504"/>
      </w:tabs>
    </w:pPr>
  </w:style>
  <w:style w:type="character" w:customStyle="1" w:styleId="PiedepginaCar">
    <w:name w:val="Pie de página Car"/>
    <w:basedOn w:val="Fuentedeprrafopredeter"/>
    <w:link w:val="Piedepgina"/>
    <w:uiPriority w:val="99"/>
    <w:rsid w:val="00CA7054"/>
    <w:rPr>
      <w:rFonts w:ascii="Times New Roman" w:eastAsia="Times New Roman" w:hAnsi="Times New Roman" w:cs="Times New Roman"/>
      <w:sz w:val="24"/>
      <w:szCs w:val="24"/>
      <w:lang w:eastAsia="es-ES"/>
    </w:rPr>
  </w:style>
  <w:style w:type="table" w:styleId="Tablaconcuadrcula">
    <w:name w:val="Table Grid"/>
    <w:basedOn w:val="Tablanormal"/>
    <w:uiPriority w:val="59"/>
    <w:rsid w:val="00E91318"/>
    <w:rPr>
      <w:lang w:val="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AE6B9F"/>
    <w:pPr>
      <w:pBdr>
        <w:top w:val="nil"/>
        <w:left w:val="nil"/>
        <w:bottom w:val="nil"/>
        <w:right w:val="nil"/>
        <w:between w:val="nil"/>
      </w:pBdr>
      <w:jc w:val="center"/>
    </w:pPr>
    <w:rPr>
      <w:rFonts w:ascii="Calibri" w:eastAsia="Calibri" w:hAnsi="Calibri" w:cs="Calibri"/>
      <w:color w:val="000000"/>
    </w:rPr>
  </w:style>
  <w:style w:type="character" w:styleId="Refdecomentario">
    <w:name w:val="annotation reference"/>
    <w:basedOn w:val="Fuentedeprrafopredeter"/>
    <w:uiPriority w:val="99"/>
    <w:semiHidden/>
    <w:unhideWhenUsed/>
    <w:rsid w:val="00AE6B9F"/>
    <w:rPr>
      <w:sz w:val="16"/>
      <w:szCs w:val="16"/>
    </w:rPr>
  </w:style>
  <w:style w:type="paragraph" w:styleId="Textocomentario">
    <w:name w:val="annotation text"/>
    <w:basedOn w:val="Normal"/>
    <w:link w:val="TextocomentarioCar"/>
    <w:uiPriority w:val="99"/>
    <w:semiHidden/>
    <w:unhideWhenUsed/>
    <w:rsid w:val="00AE6B9F"/>
    <w:rPr>
      <w:sz w:val="20"/>
      <w:szCs w:val="20"/>
    </w:rPr>
  </w:style>
  <w:style w:type="character" w:customStyle="1" w:styleId="TextocomentarioCar">
    <w:name w:val="Texto comentario Car"/>
    <w:basedOn w:val="Fuentedeprrafopredeter"/>
    <w:link w:val="Textocomentario"/>
    <w:uiPriority w:val="99"/>
    <w:semiHidden/>
    <w:rsid w:val="00AE6B9F"/>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AE6B9F"/>
    <w:rPr>
      <w:b/>
      <w:bCs/>
    </w:rPr>
  </w:style>
  <w:style w:type="character" w:customStyle="1" w:styleId="AsuntodelcomentarioCar">
    <w:name w:val="Asunto del comentario Car"/>
    <w:basedOn w:val="TextocomentarioCar"/>
    <w:link w:val="Asuntodelcomentario"/>
    <w:uiPriority w:val="99"/>
    <w:semiHidden/>
    <w:rsid w:val="00AE6B9F"/>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AE6B9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B9F"/>
    <w:rPr>
      <w:rFonts w:ascii="Segoe UI" w:eastAsia="Times New Roman" w:hAnsi="Segoe UI" w:cs="Segoe UI"/>
      <w:sz w:val="18"/>
      <w:szCs w:val="18"/>
      <w:lang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TableGrid">
    <w:name w:val="TableGrid"/>
    <w:rsid w:val="00C71BAA"/>
    <w:rPr>
      <w:rFonts w:asciiTheme="minorHAnsi" w:eastAsiaTheme="minorEastAsia" w:hAnsiTheme="minorHAnsi" w:cstheme="minorBidi"/>
      <w:sz w:val="22"/>
      <w:szCs w:val="22"/>
      <w:lang w:val="es-D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938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iLp+aQtCya0EG4pm690zgmvALQ==">AMUW2mUk7jDL+wDSp8wdY7AQp4f5ZpdUfMs8wSCSqJutc1cUzRmvjXbloOs76V6uUfdQP79klaSFjQSUxyJgqZVY9Co8bW4JY5ZT5JXZAKRIyXZVc9WCMR89wJ6TK2Uwh5JQ5i+XvS+UZqYk5Qy06Ln3Rq3qpLfw4w==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1047</Words>
  <Characters>5759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ELIANA GARCIA</dc:creator>
  <cp:lastModifiedBy>Ariel</cp:lastModifiedBy>
  <cp:revision>4</cp:revision>
  <cp:lastPrinted>2021-07-29T16:03:00Z</cp:lastPrinted>
  <dcterms:created xsi:type="dcterms:W3CDTF">2021-07-30T17:07:00Z</dcterms:created>
  <dcterms:modified xsi:type="dcterms:W3CDTF">2021-10-06T20:42:00Z</dcterms:modified>
</cp:coreProperties>
</file>